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4CCA" w:rsidRPr="00FA5E91" w:rsidRDefault="00FA5E91">
      <w:pPr>
        <w:jc w:val="center"/>
        <w:rPr>
          <w:rFonts w:asciiTheme="majorHAnsi" w:hAnsiTheme="majorHAnsi" w:cstheme="majorHAnsi"/>
        </w:rPr>
      </w:pPr>
      <w:r w:rsidRPr="00FA5E91">
        <w:rPr>
          <w:rFonts w:asciiTheme="majorHAnsi" w:hAnsiTheme="majorHAnsi" w:cstheme="majorHAnsi"/>
          <w:b/>
        </w:rPr>
        <w:t>SENA</w:t>
      </w:r>
    </w:p>
    <w:p w:rsidR="00CD4CCA" w:rsidRPr="00FA5E91" w:rsidRDefault="00FA5E91">
      <w:pPr>
        <w:jc w:val="center"/>
        <w:rPr>
          <w:rFonts w:asciiTheme="majorHAnsi" w:hAnsiTheme="majorHAnsi" w:cstheme="majorHAnsi"/>
        </w:rPr>
      </w:pPr>
      <w:r w:rsidRPr="00FA5E91">
        <w:rPr>
          <w:rFonts w:asciiTheme="majorHAnsi" w:hAnsiTheme="majorHAnsi" w:cstheme="majorHAnsi"/>
          <w:b/>
        </w:rPr>
        <w:t>ACTA No. 02</w:t>
      </w:r>
    </w:p>
    <w:tbl>
      <w:tblPr>
        <w:tblStyle w:val="Tablaconcuadrcula"/>
        <w:tblW w:w="0" w:type="auto"/>
        <w:tblLook w:val="04A0" w:firstRow="1" w:lastRow="0" w:firstColumn="1" w:lastColumn="0" w:noHBand="0" w:noVBand="1"/>
      </w:tblPr>
      <w:tblGrid>
        <w:gridCol w:w="2160"/>
        <w:gridCol w:w="2160"/>
        <w:gridCol w:w="2160"/>
        <w:gridCol w:w="2160"/>
      </w:tblGrid>
      <w:tr w:rsidR="00CD4CCA" w:rsidRPr="00FA5E91">
        <w:tc>
          <w:tcPr>
            <w:tcW w:w="8640" w:type="dxa"/>
            <w:gridSpan w:val="4"/>
          </w:tcPr>
          <w:p w:rsidR="00CD4CCA" w:rsidRPr="00FA5E91" w:rsidRDefault="00FA5E91">
            <w:pPr>
              <w:rPr>
                <w:rFonts w:asciiTheme="majorHAnsi" w:hAnsiTheme="majorHAnsi" w:cstheme="majorHAnsi"/>
              </w:rPr>
            </w:pPr>
            <w:r w:rsidRPr="00FA5E91">
              <w:rPr>
                <w:rFonts w:asciiTheme="majorHAnsi" w:hAnsiTheme="majorHAnsi" w:cstheme="majorHAnsi"/>
              </w:rPr>
              <w:t>NOMBRE DEL COMITÉ O DE LA REUNIÓN:</w:t>
            </w:r>
            <w:r w:rsidRPr="00FA5E91">
              <w:rPr>
                <w:rFonts w:asciiTheme="majorHAnsi" w:hAnsiTheme="majorHAnsi" w:cstheme="majorHAnsi"/>
              </w:rPr>
              <w:br/>
              <w:t>Reunión Componente Económico – Presentación de Avances de Convocatorias</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CIUDAD Y FECHA:</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29 de mayo de 2026</w:t>
            </w:r>
            <w:r w:rsidRPr="00FA5E91">
              <w:rPr>
                <w:rFonts w:asciiTheme="majorHAnsi" w:hAnsiTheme="majorHAnsi" w:cstheme="majorHAnsi"/>
              </w:rPr>
              <w:br/>
              <w:t>Cali, Colombia</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HORA INICIO:</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11:00 AM</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HORA FIN:</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12:00 PM</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LUGAR Y/O ENLACE:</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Reunión virtual vía Microsoft Teams</w:t>
            </w:r>
          </w:p>
        </w:tc>
      </w:tr>
      <w:tr w:rsidR="00CD4CCA" w:rsidRPr="00FA5E91">
        <w:tc>
          <w:tcPr>
            <w:tcW w:w="8640" w:type="dxa"/>
            <w:gridSpan w:val="4"/>
          </w:tcPr>
          <w:p w:rsidR="00CD4CCA" w:rsidRPr="00FA5E91" w:rsidRDefault="00FA5E91">
            <w:pPr>
              <w:rPr>
                <w:rFonts w:asciiTheme="majorHAnsi" w:hAnsiTheme="majorHAnsi" w:cstheme="majorHAnsi"/>
              </w:rPr>
            </w:pPr>
            <w:r w:rsidRPr="00FA5E91">
              <w:rPr>
                <w:rFonts w:asciiTheme="majorHAnsi" w:hAnsiTheme="majorHAnsi" w:cstheme="majorHAnsi"/>
              </w:rPr>
              <w:t>AGENDA O PUNTOS PARA DESARROLLAR:</w:t>
            </w:r>
            <w:r w:rsidRPr="00FA5E91">
              <w:rPr>
                <w:rFonts w:asciiTheme="majorHAnsi" w:hAnsiTheme="majorHAnsi" w:cstheme="majorHAnsi"/>
              </w:rPr>
              <w:br/>
            </w:r>
            <w:r w:rsidRPr="00FA5E91">
              <w:rPr>
                <w:rFonts w:asciiTheme="majorHAnsi" w:hAnsiTheme="majorHAnsi" w:cstheme="majorHAnsi"/>
              </w:rPr>
              <w:br/>
              <w:t>• Apertura de la reunión.</w:t>
            </w:r>
            <w:r w:rsidRPr="00FA5E91">
              <w:rPr>
                <w:rFonts w:asciiTheme="majorHAnsi" w:hAnsiTheme="majorHAnsi" w:cstheme="majorHAnsi"/>
              </w:rPr>
              <w:br/>
              <w:t>• Presentación de avances del proceso de convocatorias del componente económico.</w:t>
            </w:r>
            <w:r w:rsidRPr="00FA5E91">
              <w:rPr>
                <w:rFonts w:asciiTheme="majorHAnsi" w:hAnsiTheme="majorHAnsi" w:cstheme="majorHAnsi"/>
              </w:rPr>
              <w:br/>
              <w:t>• Socialización de convocatorias nacionales e internacionales identificadas.</w:t>
            </w:r>
            <w:r w:rsidRPr="00FA5E91">
              <w:rPr>
                <w:rFonts w:asciiTheme="majorHAnsi" w:hAnsiTheme="majorHAnsi" w:cstheme="majorHAnsi"/>
              </w:rPr>
              <w:br/>
              <w:t>• Presentación de la matriz de convocatorias y herramientas de seguimiento.</w:t>
            </w:r>
            <w:r w:rsidRPr="00FA5E91">
              <w:rPr>
                <w:rFonts w:asciiTheme="majorHAnsi" w:hAnsiTheme="majorHAnsi" w:cstheme="majorHAnsi"/>
              </w:rPr>
              <w:br/>
              <w:t>• Revisión de posibles aliados estratégicos y oportunidades de cooperación.</w:t>
            </w:r>
            <w:r w:rsidRPr="00FA5E91">
              <w:rPr>
                <w:rFonts w:asciiTheme="majorHAnsi" w:hAnsiTheme="majorHAnsi" w:cstheme="majorHAnsi"/>
              </w:rPr>
              <w:br/>
              <w:t>• Articulación de convocatorias con las líneas estratégicas del Proyecto Hábitat.</w:t>
            </w:r>
            <w:r w:rsidRPr="00FA5E91">
              <w:rPr>
                <w:rFonts w:asciiTheme="majorHAnsi" w:hAnsiTheme="majorHAnsi" w:cstheme="majorHAnsi"/>
              </w:rPr>
              <w:br/>
              <w:t>• Socialización de indicadores y resultados preliminares del proceso.</w:t>
            </w:r>
            <w:r w:rsidRPr="00FA5E91">
              <w:rPr>
                <w:rFonts w:asciiTheme="majorHAnsi" w:hAnsiTheme="majorHAnsi" w:cstheme="majorHAnsi"/>
              </w:rPr>
              <w:br/>
              <w:t>• Definición de compromisos y próximos pasos.</w:t>
            </w:r>
            <w:r w:rsidRPr="00FA5E91">
              <w:rPr>
                <w:rFonts w:asciiTheme="majorHAnsi" w:hAnsiTheme="majorHAnsi" w:cstheme="majorHAnsi"/>
              </w:rPr>
              <w:br/>
              <w:t>• Cierre de la reunión.</w:t>
            </w:r>
          </w:p>
        </w:tc>
      </w:tr>
      <w:tr w:rsidR="00CD4CCA" w:rsidRPr="00FA5E91">
        <w:tc>
          <w:tcPr>
            <w:tcW w:w="8640" w:type="dxa"/>
            <w:gridSpan w:val="4"/>
          </w:tcPr>
          <w:p w:rsidR="00CD4CCA" w:rsidRPr="00FA5E91" w:rsidRDefault="00FA5E91">
            <w:pPr>
              <w:rPr>
                <w:rFonts w:asciiTheme="majorHAnsi" w:hAnsiTheme="majorHAnsi" w:cstheme="majorHAnsi"/>
              </w:rPr>
            </w:pPr>
            <w:r w:rsidRPr="00FA5E91">
              <w:rPr>
                <w:rFonts w:asciiTheme="majorHAnsi" w:hAnsiTheme="majorHAnsi" w:cstheme="majorHAnsi"/>
              </w:rPr>
              <w:t>OBJETIVO DE LA REUNIÓN:</w:t>
            </w:r>
            <w:r w:rsidRPr="00FA5E91">
              <w:rPr>
                <w:rFonts w:asciiTheme="majorHAnsi" w:hAnsiTheme="majorHAnsi" w:cstheme="majorHAnsi"/>
              </w:rPr>
              <w:br/>
            </w:r>
            <w:r w:rsidRPr="00FA5E91">
              <w:rPr>
                <w:rFonts w:asciiTheme="majorHAnsi" w:hAnsiTheme="majorHAnsi" w:cstheme="majorHAnsi"/>
              </w:rPr>
              <w:br/>
              <w:t>Socializar con los diferentes compañeros y componentes del Proyecto Hábitat los avances realizados en el proceso de identificación, priorización y seguimiento de convocatorias nacionales e internacionales liderado por el componente económico, con el fin de fortalecer la articulación institucional y la sostenibilidad financiera del proyecto.</w:t>
            </w:r>
          </w:p>
        </w:tc>
      </w:tr>
      <w:tr w:rsidR="00CD4CCA" w:rsidRPr="00FA5E91">
        <w:tc>
          <w:tcPr>
            <w:tcW w:w="8640" w:type="dxa"/>
            <w:gridSpan w:val="4"/>
          </w:tcPr>
          <w:p w:rsidR="00CD4CCA" w:rsidRPr="00FA5E91" w:rsidRDefault="00FA5E91">
            <w:pPr>
              <w:rPr>
                <w:rFonts w:asciiTheme="majorHAnsi" w:hAnsiTheme="majorHAnsi" w:cstheme="majorHAnsi"/>
              </w:rPr>
            </w:pPr>
            <w:r w:rsidRPr="00FA5E91">
              <w:rPr>
                <w:rFonts w:asciiTheme="majorHAnsi" w:hAnsiTheme="majorHAnsi" w:cstheme="majorHAnsi"/>
              </w:rPr>
              <w:t>DESARROLLO DE LA REUNIÓN</w:t>
            </w:r>
          </w:p>
        </w:tc>
      </w:tr>
    </w:tbl>
    <w:p w:rsidR="00CD4CCA" w:rsidRPr="00FA5E91" w:rsidRDefault="00FA5E91">
      <w:pPr>
        <w:rPr>
          <w:rFonts w:asciiTheme="majorHAnsi" w:hAnsiTheme="majorHAnsi" w:cstheme="majorHAnsi"/>
        </w:rPr>
      </w:pPr>
      <w:r w:rsidRPr="00FA5E91">
        <w:rPr>
          <w:rFonts w:asciiTheme="majorHAnsi" w:hAnsiTheme="majorHAnsi" w:cstheme="majorHAnsi"/>
          <w:b/>
        </w:rPr>
        <w:t>Desarrollo de la reunión</w:t>
      </w:r>
      <w:r w:rsidRPr="00FA5E91">
        <w:rPr>
          <w:rFonts w:asciiTheme="majorHAnsi" w:hAnsiTheme="majorHAnsi" w:cstheme="majorHAnsi"/>
          <w:b/>
        </w:rPr>
        <w:br/>
      </w:r>
      <w:r w:rsidRPr="00FA5E91">
        <w:rPr>
          <w:rFonts w:asciiTheme="majorHAnsi" w:hAnsiTheme="majorHAnsi" w:cstheme="majorHAnsi"/>
        </w:rPr>
        <w:br/>
        <w:t>El día 29 de mayo de 2026 se realizó de manera virtual, mediante la plataforma Microsoft Teams, la reunión del componente económico del Proyecto Hábitat, entre las 11:00 a.m. y las 12:00 m., con el propósito de presentar a los demás compañeros del proyecto los avances relacionados con el proceso de convocatorias nacionales e internacionales.</w:t>
      </w:r>
      <w:r w:rsidRPr="00FA5E91">
        <w:rPr>
          <w:rFonts w:asciiTheme="majorHAnsi" w:hAnsiTheme="majorHAnsi" w:cstheme="majorHAnsi"/>
        </w:rPr>
        <w:br/>
      </w:r>
      <w:r w:rsidRPr="00FA5E91">
        <w:rPr>
          <w:rFonts w:asciiTheme="majorHAnsi" w:hAnsiTheme="majorHAnsi" w:cstheme="majorHAnsi"/>
        </w:rPr>
        <w:br/>
        <w:t>Durante la reunión, el compañero Jhon Fredy Perea presentó el avance del proceso de búsqueda y seguimiento de convocatorias, destacando la identificación de oportunidades relacionadas con energía limpia, construcción ecosostenible, bioeconomía, economía circular, adaptación climática, seguridad alimentaria, turismo comunitario, conservación ambiental y fortalecimiento de comunidades étnicas.</w:t>
      </w:r>
      <w:r w:rsidRPr="00FA5E91">
        <w:rPr>
          <w:rFonts w:asciiTheme="majorHAnsi" w:hAnsiTheme="majorHAnsi" w:cstheme="majorHAnsi"/>
        </w:rPr>
        <w:br/>
      </w:r>
      <w:r w:rsidRPr="00FA5E91">
        <w:rPr>
          <w:rFonts w:asciiTheme="majorHAnsi" w:hAnsiTheme="majorHAnsi" w:cstheme="majorHAnsi"/>
        </w:rPr>
        <w:br/>
        <w:t>Asimismo, se socializó la matriz de convocatorias elaborada por el componente económico, en la cual se consolidan aspectos como nombre de la convocatoria, entidad oferente, país, fecha de cierre, línea estratégica asociada, viabilidad y posibles aliados estratégicos.</w:t>
      </w:r>
      <w:r w:rsidRPr="00FA5E91">
        <w:rPr>
          <w:rFonts w:asciiTheme="majorHAnsi" w:hAnsiTheme="majorHAnsi" w:cstheme="majorHAnsi"/>
        </w:rPr>
        <w:br/>
      </w:r>
      <w:r w:rsidRPr="00FA5E91">
        <w:rPr>
          <w:rFonts w:asciiTheme="majorHAnsi" w:hAnsiTheme="majorHAnsi" w:cstheme="majorHAnsi"/>
        </w:rPr>
        <w:br/>
      </w:r>
      <w:r w:rsidRPr="00FA5E91">
        <w:rPr>
          <w:rFonts w:asciiTheme="majorHAnsi" w:hAnsiTheme="majorHAnsi" w:cstheme="majorHAnsi"/>
        </w:rPr>
        <w:lastRenderedPageBreak/>
        <w:t>Durante la presentación se explicó la metodología utilizada para la clasificación y priorización de convocatorias, así como la importancia de articular cada oportunidad identificada con los diferentes componentes técnicos y territoriales del Proyecto Hábitat.</w:t>
      </w:r>
      <w:r w:rsidRPr="00FA5E91">
        <w:rPr>
          <w:rFonts w:asciiTheme="majorHAnsi" w:hAnsiTheme="majorHAnsi" w:cstheme="majorHAnsi"/>
        </w:rPr>
        <w:br/>
      </w:r>
      <w:r w:rsidRPr="00FA5E91">
        <w:rPr>
          <w:rFonts w:asciiTheme="majorHAnsi" w:hAnsiTheme="majorHAnsi" w:cstheme="majorHAnsi"/>
        </w:rPr>
        <w:br/>
        <w:t>También se socializaron algunas herramientas de seguimiento implementadas, entre ellas dashboards, matrices de control, calendarios de cierre y el “Radar Estratégico de Convocatorias”, el cual permite monitorear convocatorias nuevas, convocatorias priorizadas, cierres próximos y aliados potenciales.</w:t>
      </w:r>
      <w:r w:rsidRPr="00FA5E91">
        <w:rPr>
          <w:rFonts w:asciiTheme="majorHAnsi" w:hAnsiTheme="majorHAnsi" w:cstheme="majorHAnsi"/>
        </w:rPr>
        <w:br/>
      </w:r>
      <w:r w:rsidRPr="00FA5E91">
        <w:rPr>
          <w:rFonts w:asciiTheme="majorHAnsi" w:hAnsiTheme="majorHAnsi" w:cstheme="majorHAnsi"/>
        </w:rPr>
        <w:br/>
        <w:t>Se resaltó la importancia de mantener una búsqueda permanente de oportunidades de financiación y cooperación internacional, teniendo en cuenta que el Proyecto Hábitat cuenta con múltiples líneas estratégicas y dimensiones de intervención.</w:t>
      </w:r>
      <w:r w:rsidRPr="00FA5E91">
        <w:rPr>
          <w:rFonts w:asciiTheme="majorHAnsi" w:hAnsiTheme="majorHAnsi" w:cstheme="majorHAnsi"/>
        </w:rPr>
        <w:br/>
      </w:r>
      <w:r w:rsidRPr="00FA5E91">
        <w:rPr>
          <w:rFonts w:asciiTheme="majorHAnsi" w:hAnsiTheme="majorHAnsi" w:cstheme="majorHAnsi"/>
        </w:rPr>
        <w:br/>
        <w:t>De igual manera, se discutió la necesidad de fortalecer alianzas con ONG, universidades, entidades públicas, organismos internacionales y cooperantes que puedan aportar recursos técnicos y financieros para las diferentes comunidades y territorios donde se desarrolla el proyecto.</w:t>
      </w:r>
      <w:r w:rsidRPr="00FA5E91">
        <w:rPr>
          <w:rFonts w:asciiTheme="majorHAnsi" w:hAnsiTheme="majorHAnsi" w:cstheme="majorHAnsi"/>
        </w:rPr>
        <w:br/>
      </w:r>
      <w:r w:rsidRPr="00FA5E91">
        <w:rPr>
          <w:rFonts w:asciiTheme="majorHAnsi" w:hAnsiTheme="majorHAnsi" w:cstheme="majorHAnsi"/>
        </w:rPr>
        <w:br/>
        <w:t>Finalmente, se presentaron algunos indicadores preliminares relacionados con número de convocatorias identificadas, convocatorias viables, propuestas potenciales y oportunidades de articulación institucional.</w:t>
      </w:r>
      <w:r w:rsidRPr="00FA5E91">
        <w:rPr>
          <w:rFonts w:asciiTheme="majorHAnsi" w:hAnsiTheme="majorHAnsi" w:cstheme="majorHAnsi"/>
        </w:rPr>
        <w:br/>
      </w:r>
    </w:p>
    <w:p w:rsidR="00CD4CCA" w:rsidRPr="00FA5E91" w:rsidRDefault="00FA5E91">
      <w:pPr>
        <w:rPr>
          <w:rFonts w:asciiTheme="majorHAnsi" w:hAnsiTheme="majorHAnsi" w:cstheme="majorHAnsi"/>
        </w:rPr>
      </w:pPr>
      <w:r w:rsidRPr="00FA5E91">
        <w:rPr>
          <w:rFonts w:asciiTheme="majorHAnsi" w:hAnsiTheme="majorHAnsi" w:cstheme="majorHAnsi"/>
          <w:b/>
        </w:rPr>
        <w:t>CONCLUSIONES</w:t>
      </w:r>
      <w:r w:rsidRPr="00FA5E91">
        <w:rPr>
          <w:rFonts w:asciiTheme="majorHAnsi" w:hAnsiTheme="majorHAnsi" w:cstheme="majorHAnsi"/>
          <w:b/>
        </w:rPr>
        <w:br/>
      </w:r>
      <w:r w:rsidRPr="00FA5E91">
        <w:rPr>
          <w:rFonts w:asciiTheme="majorHAnsi" w:hAnsiTheme="majorHAnsi" w:cstheme="majorHAnsi"/>
        </w:rPr>
        <w:br/>
        <w:t>La reunión permitió socializar de manera clara los avances realizados por el componente económico en el proceso de convocatorias y fortalecer la articulación con los demás compañeros y componentes del Proyecto Hábitat.</w:t>
      </w:r>
      <w:r w:rsidRPr="00FA5E91">
        <w:rPr>
          <w:rFonts w:asciiTheme="majorHAnsi" w:hAnsiTheme="majorHAnsi" w:cstheme="majorHAnsi"/>
        </w:rPr>
        <w:br/>
      </w:r>
      <w:r w:rsidRPr="00FA5E91">
        <w:rPr>
          <w:rFonts w:asciiTheme="majorHAnsi" w:hAnsiTheme="majorHAnsi" w:cstheme="majorHAnsi"/>
        </w:rPr>
        <w:br/>
        <w:t>Se destacó el trabajo liderado por el compañero Jhon Fredy Perea en la identificación y seguimiento de oportunidades nacionales e internacionales, así como la importancia de consolidar herramientas permanentes de monitoreo y priorización.</w:t>
      </w:r>
      <w:r w:rsidRPr="00FA5E91">
        <w:rPr>
          <w:rFonts w:asciiTheme="majorHAnsi" w:hAnsiTheme="majorHAnsi" w:cstheme="majorHAnsi"/>
        </w:rPr>
        <w:br/>
      </w:r>
      <w:r w:rsidRPr="00FA5E91">
        <w:rPr>
          <w:rFonts w:asciiTheme="majorHAnsi" w:hAnsiTheme="majorHAnsi" w:cstheme="majorHAnsi"/>
        </w:rPr>
        <w:br/>
        <w:t>Asimismo, se reconoció la necesidad de continuar fortaleciendo alianzas estratégicas y procesos de formulación de proyectos que contribuyan a la sostenibilidad financiera y territorial del Proyecto Hábitat.</w:t>
      </w:r>
      <w:r w:rsidRPr="00FA5E91">
        <w:rPr>
          <w:rFonts w:asciiTheme="majorHAnsi" w:hAnsiTheme="majorHAnsi" w:cstheme="majorHAnsi"/>
        </w:rPr>
        <w:br/>
      </w:r>
    </w:p>
    <w:p w:rsidR="00CD4CCA" w:rsidRPr="00FA5E91" w:rsidRDefault="00FA5E91">
      <w:pPr>
        <w:rPr>
          <w:rFonts w:asciiTheme="majorHAnsi" w:hAnsiTheme="majorHAnsi" w:cstheme="majorHAnsi"/>
        </w:rPr>
      </w:pPr>
      <w:r w:rsidRPr="00FA5E91">
        <w:rPr>
          <w:rFonts w:asciiTheme="majorHAnsi" w:hAnsiTheme="majorHAnsi" w:cstheme="majorHAnsi"/>
          <w:b/>
        </w:rPr>
        <w:t>ESTABLECIMIENTO Y ACEPTACIÓN DE COMPROMISOS</w:t>
      </w:r>
    </w:p>
    <w:tbl>
      <w:tblPr>
        <w:tblStyle w:val="Tablaconcuadrcula"/>
        <w:tblW w:w="0" w:type="auto"/>
        <w:tblLook w:val="04A0" w:firstRow="1" w:lastRow="0" w:firstColumn="1" w:lastColumn="0" w:noHBand="0" w:noVBand="1"/>
      </w:tblPr>
      <w:tblGrid>
        <w:gridCol w:w="2160"/>
        <w:gridCol w:w="2160"/>
        <w:gridCol w:w="2160"/>
        <w:gridCol w:w="2160"/>
      </w:tblGrid>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ACTIVIDAD / DECISIÓN</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FECHA</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RESPONSABLE</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 xml:space="preserve">FIRMA O PARTICIPACIÓN </w:t>
            </w:r>
            <w:r w:rsidRPr="00FA5E91">
              <w:rPr>
                <w:rFonts w:asciiTheme="majorHAnsi" w:hAnsiTheme="majorHAnsi" w:cstheme="majorHAnsi"/>
              </w:rPr>
              <w:lastRenderedPageBreak/>
              <w:t>VIRTUAL</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lastRenderedPageBreak/>
              <w:t>Continuar con la actualización semanal de la matriz de convocatorias.</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Semanal</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Jhon Fredy Perea</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Socializar avances y oportunidades identificadas con los componentes técnicos.</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Semanal</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Componente económico</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Fortalecer el Radar Estratégico de Convocatorias.</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Semanal</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Equipo económico</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Identificar nuevos aliados estratégicos y oportunidades de cooperación.</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Permanente</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Equipo económico</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r w:rsidR="00CD4CCA" w:rsidRPr="00FA5E91">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Articular convocatorias con necesidades territoriales y comunitarias.</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Permanente</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Todos los componentes</w:t>
            </w:r>
          </w:p>
        </w:tc>
        <w:tc>
          <w:tcPr>
            <w:tcW w:w="2160"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bl>
    <w:p w:rsidR="00CD4CCA" w:rsidRPr="00FA5E91" w:rsidRDefault="00FA5E91">
      <w:pPr>
        <w:rPr>
          <w:rFonts w:asciiTheme="majorHAnsi" w:hAnsiTheme="majorHAnsi" w:cstheme="majorHAnsi"/>
        </w:rPr>
      </w:pPr>
      <w:r w:rsidRPr="00FA5E91">
        <w:rPr>
          <w:rFonts w:asciiTheme="majorHAnsi" w:hAnsiTheme="majorHAnsi" w:cstheme="majorHAnsi"/>
          <w:b/>
        </w:rPr>
        <w:t>DE: ASISTENTES Y APROBACIÓN DECISIONES</w:t>
      </w:r>
    </w:p>
    <w:tbl>
      <w:tblPr>
        <w:tblStyle w:val="Tablaconcuadrcula"/>
        <w:tblW w:w="0" w:type="auto"/>
        <w:tblLook w:val="04A0" w:firstRow="1" w:lastRow="0" w:firstColumn="1" w:lastColumn="0" w:noHBand="0" w:noVBand="1"/>
      </w:tblPr>
      <w:tblGrid>
        <w:gridCol w:w="1728"/>
        <w:gridCol w:w="1728"/>
        <w:gridCol w:w="1728"/>
        <w:gridCol w:w="1728"/>
        <w:gridCol w:w="1728"/>
      </w:tblGrid>
      <w:tr w:rsidR="00CD4CCA" w:rsidRPr="00FA5E91">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NOMBRE</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DEPENDENCIA / EMPRESA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APRUEBA (SI/NO)</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OBSERVACIÓN</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FIRMA O PARTICIPACIÓN VIRTUAL</w:t>
            </w:r>
          </w:p>
        </w:tc>
      </w:tr>
      <w:tr w:rsidR="00CD4CCA" w:rsidRPr="00FA5E91">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Cesar Piedrahita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SENA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SI</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N/A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r w:rsidR="00CD4CCA" w:rsidRPr="00FA5E91">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Jhon Fredy Perea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SENA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SI</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N/A</w:t>
            </w:r>
          </w:p>
        </w:tc>
        <w:tc>
          <w:tcPr>
            <w:tcW w:w="1728" w:type="dxa"/>
          </w:tcPr>
          <w:p w:rsidR="00CD4CCA" w:rsidRPr="00FA5E91" w:rsidRDefault="00FA5E91">
            <w:pPr>
              <w:rPr>
                <w:rFonts w:asciiTheme="majorHAnsi" w:hAnsiTheme="majorHAnsi" w:cstheme="majorHAnsi"/>
              </w:rPr>
            </w:pPr>
            <w:r w:rsidRPr="00FA5E91">
              <w:rPr>
                <w:rFonts w:asciiTheme="majorHAnsi" w:hAnsiTheme="majorHAnsi" w:cstheme="majorHAnsi"/>
              </w:rPr>
              <w:t>Virtual</w:t>
            </w:r>
          </w:p>
        </w:tc>
      </w:tr>
      <w:tr w:rsidR="00CD4CCA" w:rsidRPr="00FA5E91">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r>
      <w:tr w:rsidR="00CD4CCA" w:rsidRPr="00FA5E91">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r>
      <w:tr w:rsidR="00CD4CCA" w:rsidRPr="00FA5E91">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r>
      <w:tr w:rsidR="00CD4CCA" w:rsidRPr="00FA5E91">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r>
      <w:tr w:rsidR="00CD4CCA" w:rsidRPr="00FA5E91">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c>
          <w:tcPr>
            <w:tcW w:w="1728" w:type="dxa"/>
          </w:tcPr>
          <w:p w:rsidR="00CD4CCA" w:rsidRPr="00FA5E91" w:rsidRDefault="00CD4CCA">
            <w:pPr>
              <w:rPr>
                <w:rFonts w:asciiTheme="majorHAnsi" w:hAnsiTheme="majorHAnsi" w:cstheme="majorHAnsi"/>
              </w:rPr>
            </w:pPr>
          </w:p>
        </w:tc>
      </w:tr>
    </w:tbl>
    <w:p w:rsidR="00CD4CCA" w:rsidRPr="00FA5E91" w:rsidRDefault="00FA5E91">
      <w:pPr>
        <w:rPr>
          <w:rFonts w:asciiTheme="majorHAnsi" w:hAnsiTheme="majorHAnsi" w:cstheme="majorHAnsi"/>
        </w:rPr>
      </w:pPr>
      <w:r w:rsidRPr="00FA5E91">
        <w:rPr>
          <w:rFonts w:asciiTheme="majorHAnsi" w:hAnsiTheme="majorHAnsi" w:cstheme="majorHAnsi"/>
        </w:rPr>
        <w:b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r w:rsidRPr="00FA5E91">
        <w:rPr>
          <w:rFonts w:asciiTheme="majorHAnsi" w:hAnsiTheme="majorHAnsi" w:cstheme="majorHAnsi"/>
        </w:rPr>
        <w:br/>
      </w:r>
    </w:p>
    <w:p w:rsidR="00CD4CCA" w:rsidRPr="00FA5E91" w:rsidRDefault="00FA5E91">
      <w:pPr>
        <w:rPr>
          <w:rFonts w:asciiTheme="majorHAnsi" w:hAnsiTheme="majorHAnsi" w:cstheme="majorHAnsi"/>
        </w:rPr>
      </w:pPr>
      <w:r w:rsidRPr="00FA5E91">
        <w:rPr>
          <w:rFonts w:asciiTheme="majorHAnsi" w:hAnsiTheme="majorHAnsi" w:cstheme="majorHAnsi"/>
        </w:rPr>
        <w:t>ANEXOS</w:t>
      </w:r>
    </w:p>
    <w:sectPr w:rsidR="00CD4CCA" w:rsidRPr="00FA5E91" w:rsidSect="0003461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2BD" w:rsidRDefault="00FC22BD" w:rsidP="005E2EB5">
      <w:pPr>
        <w:spacing w:after="0" w:line="240" w:lineRule="auto"/>
      </w:pPr>
      <w:r>
        <w:separator/>
      </w:r>
    </w:p>
  </w:endnote>
  <w:endnote w:type="continuationSeparator" w:id="0">
    <w:p w:rsidR="00FC22BD" w:rsidRDefault="00FC22BD" w:rsidP="005E2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5" w:rsidRDefault="005E2EB5">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5" w:rsidRDefault="005E2EB5">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5" w:rsidRDefault="005E2EB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2BD" w:rsidRDefault="00FC22BD" w:rsidP="005E2EB5">
      <w:pPr>
        <w:spacing w:after="0" w:line="240" w:lineRule="auto"/>
      </w:pPr>
      <w:r>
        <w:separator/>
      </w:r>
    </w:p>
  </w:footnote>
  <w:footnote w:type="continuationSeparator" w:id="0">
    <w:p w:rsidR="00FC22BD" w:rsidRDefault="00FC22BD" w:rsidP="005E2E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5" w:rsidRDefault="005E2EB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5" w:rsidRDefault="005E2EB5" w:rsidP="005E2EB5">
    <w:pPr>
      <w:pStyle w:val="Encabezado"/>
      <w:jc w:val="center"/>
    </w:pPr>
    <w:r>
      <w:rPr>
        <w:noProof/>
        <w:lang w:val="es-ES" w:eastAsia="es-ES"/>
      </w:rPr>
      <w:drawing>
        <wp:inline distT="0" distB="0" distL="0" distR="0" wp14:anchorId="242A821A" wp14:editId="0DCDF82A">
          <wp:extent cx="592455" cy="561340"/>
          <wp:effectExtent l="0" t="0" r="0" b="0"/>
          <wp:docPr id="1964575382" name="image4.png"/>
          <wp:cNvGraphicFramePr/>
          <a:graphic xmlns:a="http://schemas.openxmlformats.org/drawingml/2006/main">
            <a:graphicData uri="http://schemas.openxmlformats.org/drawingml/2006/picture">
              <pic:pic xmlns:pic="http://schemas.openxmlformats.org/drawingml/2006/picture">
                <pic:nvPicPr>
                  <pic:cNvPr id="1964575382" name="image4.png"/>
                  <pic:cNvPicPr/>
                </pic:nvPicPr>
                <pic:blipFill>
                  <a:blip r:embed="rId1"/>
                  <a:srcRect/>
                  <a:stretch>
                    <a:fillRect/>
                  </a:stretch>
                </pic:blipFill>
                <pic:spPr>
                  <a:xfrm>
                    <a:off x="0" y="0"/>
                    <a:ext cx="592455" cy="561340"/>
                  </a:xfrm>
                  <a:prstGeom prst="rect">
                    <a:avLst/>
                  </a:prstGeom>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5" w:rsidRDefault="005E2EB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5E2EB5"/>
    <w:rsid w:val="00AA1D8D"/>
    <w:rsid w:val="00B47730"/>
    <w:rsid w:val="00CB0664"/>
    <w:rsid w:val="00CD4CCA"/>
    <w:rsid w:val="00FA5E91"/>
    <w:rsid w:val="00FC22B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de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xtodeglobo">
    <w:name w:val="Balloon Text"/>
    <w:basedOn w:val="Normal"/>
    <w:link w:val="TextodegloboCar"/>
    <w:uiPriority w:val="99"/>
    <w:semiHidden/>
    <w:unhideWhenUsed/>
    <w:rsid w:val="005E2E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2E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de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extodeglobo">
    <w:name w:val="Balloon Text"/>
    <w:basedOn w:val="Normal"/>
    <w:link w:val="TextodegloboCar"/>
    <w:uiPriority w:val="99"/>
    <w:semiHidden/>
    <w:unhideWhenUsed/>
    <w:rsid w:val="005E2E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E2E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0F955-7FF3-4560-BA54-65F78A826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842</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CESAR</cp:lastModifiedBy>
  <cp:revision>4</cp:revision>
  <dcterms:created xsi:type="dcterms:W3CDTF">2013-12-23T23:15:00Z</dcterms:created>
  <dcterms:modified xsi:type="dcterms:W3CDTF">2026-06-02T15:44:00Z</dcterms:modified>
  <cp:category/>
</cp:coreProperties>
</file>